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MÔ TẢ CÔNG VIỆC THỢ SẮT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1 - 2 năm kinh nghiệm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THCS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Nam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Lao động phổ thông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 công, hàn các bảng sắt theo yêu cầu.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Chi tiết trao đổi khi PV.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Việc nhiều, lương cao. BHYT, BHTN, nghỉ lễ theo chính sách của nhà nước quy định.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CMND/CCCD.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Hộ khẩu &amp; các văn bằng liên quan (nếu có).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Chỉ cần photo không cần công chứng.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