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 THỢ LẶN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yêu cầu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Du lịch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Hướng dẫn khách du lịch tham gia lặn biển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Lặn cùng với khách du lịch đê hướng dẫn họ khám phá những thứ họ chưa biết.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Thực hiện một số nhiệm vụ khác.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Yêu cầu công việc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Có bằng DiveMaster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Giao tiếp Tiếng Anh cơ bản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Kỹ năng có khả năng ăn nói, khôn khéo trong giải quyết tình huống phát sinh.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Có năng lực làm việc một mình hoặc theo đội tốt.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Tâm huyết trong công việc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Biết bơi và hiểu rõ kỹ thuật lặn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Một tháng được nghỉ 4 ngày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Được hỗ trợ tiền ăn trưa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+ Giờ làm việc: 7:00 am – 14:00 pm (Ngày không đi lặn trực văn phòng 10:00am-17:00pm)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+ Lương : 7.000.000 vnd /tháng + Bonus (tháng thấp điểm)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Tháng cao điểm 9.000.000vnd + Bonus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