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GIÁM ĐỐC NHÂN SỰ NGÀNH MAY MẶC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nghiệm:5 - 10 năm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Đại học trở lên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Quản lý điều hành Dệt may - Da giày, Nhân sự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+ Lập kế hoạch tuyển dụng, đào tạo phát triển nguồn nhân lực định kỳ năm, quý, tháng cho công ty.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+ Xây dựng, bổ sung, hoàn thiện các quy trình, quy chế áp dụng trong Công ty.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+ Hỗ trợ cho các bộ phận liên quan về công tác đào tạo nhân viên, phỏng vấn tuyển dụng nhân sự, tiếp nhận nhân sự, đánh giá nhân sự định kỳ,…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+ Là cầu nối giữa ban giám đốc và người lao động trong công ty.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+ Quản lý, điều hành các hoạt động của nhân sự trong phòng.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-Trình độ: Tốt nghiệp Đại học các chuyên ngành liên quan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-Kỹ Năng: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+ Lập kế hoạch, trình bày, kỹ năng giao tiếp tốt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+ Kỹ năng lãnh đạo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+ Kỹ năng giải quyết tình huống, ứng xử với các cấp tổ chức trong công ty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-Tố chất/thái độ: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Yêu cầu khác: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+ Tiếng Anh tốt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+ Có kiến thức về luật lao động, hợp đồng lao động, các chế độ phúc lợi, luật bảo hiểm ...Quyền lợi được hưởng-Mức lương: Từ 30 triệu đến 50 triệu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-Các chế độ phúc lợi khác: Theo Quy định của Luật lao động Việt Nam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-Thời gian nghỉ ngơi: Nghỉ trưa 1 tiếng, Chủ nhật và các ngày lễ, Tết theo quy định của Luật lao động Việt Nam.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