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 CÔNG NHÂN ĐỨNG MÁY THÊU VI TÍNH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Chức vụ: Công nhân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Kinh nghiệm: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Hình thức làm việc: Toàn thời gian cố định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Yêu cầu bằng cấp: THPT trở lên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Yêu cầu giới tính: Không yêu cầu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Số lượng cần tuyển: 2 ứng viên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Ngành nghề: Cơ khí - Chế tạo, Dệt may - Da giày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Mô tả công việc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 Công nhân chạy máy thêu vi tính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Kiểm tra sản phẩm từ khi bắt đầu thêu đến khi hoàn thành sản phẩm xem có bị lỗi hay không.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 Lấy sản phẩm sau khi hoàn thành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Yêu cầu công việc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Biết vận hành  máy thêu vi tính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Kinh nghiệm từ 1 năm trở lên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Quyền lợi được hưởng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Được hưởng các chế độ phúc lợi theo quy định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Tham gia BHXH -YT -TN khi ký hợp đồng chính thức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Thưởng cuối năm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- Phụ cấp chuyên cần, nhà ở, đi lại ...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