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CA TRƯỞNG BẾP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2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Thực phẩm - Đồ uống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Có kinh nghiệm ca trưởng trong các bếp ăn công nghiệp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Đầu bếp nhà hàng muốn thăng tiến trong môi trường bếp ăn công nghiệp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Chi tiết trao đổi khi phỏng vấn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Nhanh nhẹn, nhiệt tình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Có trách nhiệm trong công việc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Không ngại việc tỉ mỉ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Thu nhập: Thỏa thuận theo năng lực (6-8 triệu / tháng)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Hỗ trợ ăn ca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Thưởng các dịp lễ Tết trong năm, thành lập công 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Chế độ hiếu hỉ, sinh nhật, quà mừng sinh con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Tháng làm 26 công, nghỉ 1 ngày/tuần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Đinh kỳ 06 tháng/ lần xét phụ cấp thâm niên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Các chế độ phúc lợi khác theo quy định của Nhà nước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