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BÁC SĨ MẮT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1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Y tế-Dược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Là công dân Việt Nam, có sức khỏe tốt, tuổi đời không quá 45 tuổi.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Có khả năng làm việc độc lập, làm việc nhóm và chịu áp lực công việc.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Có khả năng sử dụng Tin học thành thạo, ngoại ngữ cơ bản.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Có khả năng giao tiếp tốt, ngoại hình ưa nhìn là một lợi thế.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Trình độ chuyên môn: Bác sĩ đa khoa (định hướng chuyên khoa Mắt).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Mô tả chi tiết khi phỏng vấn.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Tốt nghiệp Bác sĩ chuyên khoa hoặc bằng cấp cao hơn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Có ít nhất 02 năm kinh nghiệm làm việc ở vị trí tương đương.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Có chứng chỉ hành nghề.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Có kiến thức về quy trình, quy chuẩn theo yêu cầu của ngành Y tế.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Đạo đức nghề nghiệp tốt.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Môi trường làm việc hiện đại, có cơ hội thăng tiến, được đào tạo phát triển và ổn định lâu dài.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Được đóng BHXH, BHYT, BH thất nghiệp theo quy định của nhà nước.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Được hưởng chế độ chăm sóc sức khỏe toàn diện.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Được hưởng các quyền lợi khác theo chính sách của Bệnh viện.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