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00" w:rsidRPr="00631CFB" w:rsidRDefault="00631CFB" w:rsidP="00631CFB">
      <w:pPr>
        <w:spacing w:before="100" w:beforeAutospacing="1" w:after="100" w:afterAutospacing="1" w:line="240" w:lineRule="auto"/>
        <w:jc w:val="center"/>
        <w:outlineLvl w:val="1"/>
        <w:rPr>
          <w:rFonts w:eastAsia="Times New Roman" w:cs="Times New Roman"/>
          <w:b/>
          <w:bCs/>
          <w:sz w:val="28"/>
          <w:szCs w:val="28"/>
        </w:rPr>
      </w:pPr>
      <w:r w:rsidRPr="00631CFB">
        <w:rPr>
          <w:rFonts w:eastAsia="Times New Roman" w:cs="Times New Roman"/>
          <w:b/>
          <w:bCs/>
          <w:sz w:val="28"/>
          <w:szCs w:val="28"/>
        </w:rPr>
        <w:t>Chánh án tòa án</w:t>
      </w:r>
    </w:p>
    <w:p w:rsidR="00631CFB" w:rsidRPr="00631CFB" w:rsidRDefault="00631CFB" w:rsidP="00631CFB">
      <w:pPr>
        <w:pStyle w:val="NormalWeb"/>
        <w:spacing w:before="0" w:beforeAutospacing="0"/>
        <w:jc w:val="both"/>
        <w:rPr>
          <w:sz w:val="28"/>
          <w:szCs w:val="28"/>
        </w:rPr>
      </w:pPr>
      <w:r w:rsidRPr="00631CFB">
        <w:rPr>
          <w:sz w:val="28"/>
          <w:szCs w:val="28"/>
        </w:rPr>
        <w:t>Theo quy định hiện hành tại </w:t>
      </w:r>
      <w:hyperlink r:id="rId4" w:tgtFrame="_blank" w:tooltip="Luật Tổ chức Tòa án nhân dân 2014" w:history="1">
        <w:r w:rsidRPr="00631CFB">
          <w:rPr>
            <w:rStyle w:val="Hyperlink"/>
            <w:color w:val="auto"/>
            <w:sz w:val="28"/>
            <w:szCs w:val="28"/>
          </w:rPr>
          <w:t>Luật Tổ chức Tòa án nhân dân 2014</w:t>
        </w:r>
      </w:hyperlink>
      <w:r w:rsidRPr="00631CFB">
        <w:rPr>
          <w:sz w:val="28"/>
          <w:szCs w:val="28"/>
        </w:rPr>
        <w:t> thì nhiệm vụ, quyền hạn của Chánh án Tòa án nhân dân tối cao được quy định như sau:</w:t>
      </w:r>
    </w:p>
    <w:p w:rsidR="00631CFB" w:rsidRPr="00631CFB" w:rsidRDefault="00631CFB" w:rsidP="00631CFB">
      <w:pPr>
        <w:pStyle w:val="NormalWeb"/>
        <w:spacing w:before="0" w:beforeAutospacing="0"/>
        <w:jc w:val="both"/>
        <w:rPr>
          <w:sz w:val="28"/>
          <w:szCs w:val="28"/>
        </w:rPr>
      </w:pPr>
      <w:r w:rsidRPr="00631CFB">
        <w:rPr>
          <w:sz w:val="28"/>
          <w:szCs w:val="28"/>
        </w:rPr>
        <w:t>1. Tổ chức công tác xét xử của Tò</w:t>
      </w:r>
      <w:bookmarkStart w:id="0" w:name="_GoBack"/>
      <w:bookmarkEnd w:id="0"/>
      <w:r w:rsidRPr="00631CFB">
        <w:rPr>
          <w:sz w:val="28"/>
          <w:szCs w:val="28"/>
        </w:rPr>
        <w:t>a án nhân dân tối cao; chịu trách nhiệm tổ chức thực hiện nguyên tắc Thẩm phán, Hội thẩm xét xử độc lập và chỉ tuân theo pháp luật.</w:t>
      </w:r>
    </w:p>
    <w:p w:rsidR="00631CFB" w:rsidRPr="00631CFB" w:rsidRDefault="00631CFB" w:rsidP="00631CFB">
      <w:pPr>
        <w:pStyle w:val="NormalWeb"/>
        <w:spacing w:before="0" w:beforeAutospacing="0"/>
        <w:jc w:val="both"/>
        <w:rPr>
          <w:sz w:val="28"/>
          <w:szCs w:val="28"/>
        </w:rPr>
      </w:pPr>
      <w:r w:rsidRPr="00631CFB">
        <w:rPr>
          <w:sz w:val="28"/>
          <w:szCs w:val="28"/>
        </w:rPr>
        <w:t>2. Chủ tọa phiên họp của Hội đồng Thẩm phán Tòa án nhân dân tối cao.</w:t>
      </w:r>
    </w:p>
    <w:p w:rsidR="00631CFB" w:rsidRPr="00631CFB" w:rsidRDefault="00631CFB" w:rsidP="00631CFB">
      <w:pPr>
        <w:pStyle w:val="NormalWeb"/>
        <w:spacing w:before="0" w:beforeAutospacing="0"/>
        <w:jc w:val="both"/>
        <w:rPr>
          <w:sz w:val="28"/>
          <w:szCs w:val="28"/>
        </w:rPr>
      </w:pPr>
      <w:r w:rsidRPr="00631CFB">
        <w:rPr>
          <w:sz w:val="28"/>
          <w:szCs w:val="28"/>
        </w:rPr>
        <w:t>3. Kháng nghị theo thủ tục giám đốc thẩm, tái thẩm bản án, quyết định đã có hiệu lực pháp luật của các Tòa án nhân dân theo quy định của luật tố tụng.</w:t>
      </w:r>
    </w:p>
    <w:p w:rsidR="00631CFB" w:rsidRPr="00631CFB" w:rsidRDefault="00631CFB" w:rsidP="00631CFB">
      <w:pPr>
        <w:pStyle w:val="NormalWeb"/>
        <w:spacing w:before="0" w:beforeAutospacing="0"/>
        <w:jc w:val="both"/>
        <w:rPr>
          <w:sz w:val="28"/>
          <w:szCs w:val="28"/>
        </w:rPr>
      </w:pPr>
      <w:r w:rsidRPr="00631CFB">
        <w:rPr>
          <w:sz w:val="28"/>
          <w:szCs w:val="28"/>
        </w:rPr>
        <w:t>4. Trình Chủ tịch nước ý kiến của mình về trường hợp người bị kết án xin ân giảm án tử hình.</w:t>
      </w:r>
    </w:p>
    <w:p w:rsidR="00631CFB" w:rsidRPr="00631CFB" w:rsidRDefault="00631CFB" w:rsidP="00631CFB">
      <w:pPr>
        <w:pStyle w:val="NormalWeb"/>
        <w:spacing w:before="0" w:beforeAutospacing="0"/>
        <w:jc w:val="both"/>
        <w:rPr>
          <w:sz w:val="28"/>
          <w:szCs w:val="28"/>
        </w:rPr>
      </w:pPr>
      <w:r w:rsidRPr="00631CFB">
        <w:rPr>
          <w:sz w:val="28"/>
          <w:szCs w:val="28"/>
        </w:rPr>
        <w:t>5. Chỉ đạo việc tổng kết thực tiễn xét xử, xây dựng và ban hành Nghị quyết của Hội đồng Thẩm phán Tòa án nhân dân tối cao bảo đảm áp dụng thống nhất pháp luật trong xét xử; tổng kết phát triển án lệ, công bố án lệ.</w:t>
      </w:r>
    </w:p>
    <w:p w:rsidR="00631CFB" w:rsidRPr="00631CFB" w:rsidRDefault="00631CFB" w:rsidP="00631CFB">
      <w:pPr>
        <w:pStyle w:val="NormalWeb"/>
        <w:spacing w:before="0" w:beforeAutospacing="0"/>
        <w:jc w:val="both"/>
        <w:rPr>
          <w:sz w:val="28"/>
          <w:szCs w:val="28"/>
        </w:rPr>
      </w:pPr>
      <w:r w:rsidRPr="00631CFB">
        <w:rPr>
          <w:sz w:val="28"/>
          <w:szCs w:val="28"/>
        </w:rPr>
        <w:t>6. Chỉ đạo việc soạn thảo dự án luật, pháp lệnh, dự thảo nghị quyết do Tòa án nhân dân tối cao trình Quốc hội, Ủy ban thường vụ Quốc hội; ban hành hoặc phối hợp ban hành văn bản pháp luật thuộc thẩm quyền theo Luật ban hành văn bản pháp luật.</w:t>
      </w:r>
    </w:p>
    <w:p w:rsidR="00631CFB" w:rsidRPr="00631CFB" w:rsidRDefault="00631CFB" w:rsidP="00631CFB">
      <w:pPr>
        <w:pStyle w:val="NormalWeb"/>
        <w:spacing w:before="0" w:beforeAutospacing="0"/>
        <w:jc w:val="both"/>
        <w:rPr>
          <w:sz w:val="28"/>
          <w:szCs w:val="28"/>
        </w:rPr>
      </w:pPr>
      <w:r w:rsidRPr="00631CFB">
        <w:rPr>
          <w:sz w:val="28"/>
          <w:szCs w:val="28"/>
        </w:rPr>
        <w:t>7. Trình Quốc hội phê chuẩn việc đề nghị bổ nhiệm, miễn nhiệm, cách chức Thẩm phán Tòa án nhân dân tối cao; trình Chủ tịch nước bổ nhiệm, miễn nhiệm, cách chức Phó Chánh án Tòa án nhân dân tối cao và Thẩm phán các Tòa án khác.</w:t>
      </w:r>
    </w:p>
    <w:p w:rsidR="00631CFB" w:rsidRPr="00631CFB" w:rsidRDefault="00631CFB" w:rsidP="00631CFB">
      <w:pPr>
        <w:pStyle w:val="NormalWeb"/>
        <w:spacing w:before="0" w:beforeAutospacing="0"/>
        <w:jc w:val="both"/>
        <w:rPr>
          <w:sz w:val="28"/>
          <w:szCs w:val="28"/>
        </w:rPr>
      </w:pPr>
      <w:r w:rsidRPr="00631CFB">
        <w:rPr>
          <w:sz w:val="28"/>
          <w:szCs w:val="28"/>
        </w:rPr>
        <w:t>8. Bổ nhiệm, miễn nhiệm, cách chức các chức danh theo quy định tại khoản 1 Điều 35, khoản 1 Điều 36, khoản 1 Điều 42, khoản 1 Điều 43, khoản 1 Điều 47, khoản 1 Điều 48, khoản 1 Điều 60, khoản 1 Điều 61, khoản 1 Điều 62, khoản 1 Điều 63, khoản 1 Điều 64 của </w:t>
      </w:r>
      <w:hyperlink r:id="rId5" w:tgtFrame="_blank" w:tooltip="Luật Tổ chức Tòa án nhân dân 2014" w:history="1">
        <w:r w:rsidRPr="00631CFB">
          <w:rPr>
            <w:rStyle w:val="Hyperlink"/>
            <w:color w:val="auto"/>
            <w:sz w:val="28"/>
            <w:szCs w:val="28"/>
          </w:rPr>
          <w:t>Luật Tổ chức Tòa án nhân dân 2014</w:t>
        </w:r>
      </w:hyperlink>
      <w:r w:rsidRPr="00631CFB">
        <w:rPr>
          <w:sz w:val="28"/>
          <w:szCs w:val="28"/>
        </w:rPr>
        <w:t> và các chức vụ trong Tòa án nhân dân tối cao, trừ các chức vụ thuộc thẩm quyền bổ nhiệm, miễn nhiệm, cách chức của Chủ tịch nước.</w:t>
      </w:r>
    </w:p>
    <w:p w:rsidR="00631CFB" w:rsidRPr="00631CFB" w:rsidRDefault="00631CFB" w:rsidP="00631CFB">
      <w:pPr>
        <w:pStyle w:val="NormalWeb"/>
        <w:spacing w:before="0" w:beforeAutospacing="0"/>
        <w:jc w:val="both"/>
        <w:rPr>
          <w:sz w:val="28"/>
          <w:szCs w:val="28"/>
        </w:rPr>
      </w:pPr>
      <w:r w:rsidRPr="00631CFB">
        <w:rPr>
          <w:sz w:val="28"/>
          <w:szCs w:val="28"/>
        </w:rPr>
        <w:t>9. Quyết định luân chuyển, điều động, biệt phái Thẩm phán quy định tại khoản 2 Điều 78, khoản 2 Điều 79 và khoản 2 Điều 80 của </w:t>
      </w:r>
      <w:hyperlink r:id="rId6" w:tgtFrame="_blank" w:tooltip="Luật Tổ chức Tòa án nhân dân 2014" w:history="1">
        <w:r w:rsidRPr="00631CFB">
          <w:rPr>
            <w:rStyle w:val="Hyperlink"/>
            <w:color w:val="auto"/>
            <w:sz w:val="28"/>
            <w:szCs w:val="28"/>
          </w:rPr>
          <w:t>Luật Tổ chức Tòa án nhân dân 2014</w:t>
        </w:r>
      </w:hyperlink>
      <w:r w:rsidRPr="00631CFB">
        <w:rPr>
          <w:sz w:val="28"/>
          <w:szCs w:val="28"/>
        </w:rPr>
        <w:t>, trừ Thẩm phán Tòa án nhân dân tối cao.</w:t>
      </w:r>
    </w:p>
    <w:p w:rsidR="00631CFB" w:rsidRPr="00631CFB" w:rsidRDefault="00631CFB" w:rsidP="00631CFB">
      <w:pPr>
        <w:pStyle w:val="NormalWeb"/>
        <w:spacing w:before="0" w:beforeAutospacing="0"/>
        <w:jc w:val="both"/>
        <w:rPr>
          <w:sz w:val="28"/>
          <w:szCs w:val="28"/>
        </w:rPr>
      </w:pPr>
      <w:r w:rsidRPr="00631CFB">
        <w:rPr>
          <w:sz w:val="28"/>
          <w:szCs w:val="28"/>
        </w:rPr>
        <w:t xml:space="preserve">10. Trình Ủy ban thường vụ Quốc hội quyết định thành lập, giải thể Tòa án nhân dân cấp cao; Tòa án nhân dân tỉnh, thành phố trực thuộc trung ương; Tòa án nhân dân huyện, quận, thị xã, thành phố thuộc tỉnh và tương đương; Tòa án quân sự </w:t>
      </w:r>
      <w:r w:rsidRPr="00631CFB">
        <w:rPr>
          <w:sz w:val="28"/>
          <w:szCs w:val="28"/>
        </w:rPr>
        <w:lastRenderedPageBreak/>
        <w:t>quân khu và tương đương; Tòa án quân sự khu vực; quy định về phạm vi thẩm quyền theo lãnh thổ của Tòa án nhân dân cấp cao và thành lập các Tòa chuyên trách khác của Tòa án nhân dân khi xét thấy cần thiết</w:t>
      </w:r>
    </w:p>
    <w:p w:rsidR="00E74F53" w:rsidRPr="00631CFB" w:rsidRDefault="00E74F53" w:rsidP="00631CFB">
      <w:pPr>
        <w:rPr>
          <w:rFonts w:cs="Times New Roman"/>
          <w:sz w:val="28"/>
          <w:szCs w:val="28"/>
        </w:rPr>
      </w:pPr>
    </w:p>
    <w:sectPr w:rsidR="00E74F53" w:rsidRPr="00631CFB"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0"/>
    <w:rsid w:val="00014200"/>
    <w:rsid w:val="00330E36"/>
    <w:rsid w:val="00631CFB"/>
    <w:rsid w:val="00E7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95C1"/>
  <w15:chartTrackingRefBased/>
  <w15:docId w15:val="{FB47B417-A877-4ED1-88E1-A78FB7A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420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200"/>
    <w:rPr>
      <w:rFonts w:eastAsia="Times New Roman" w:cs="Times New Roman"/>
      <w:b/>
      <w:bCs/>
      <w:sz w:val="36"/>
      <w:szCs w:val="36"/>
    </w:rPr>
  </w:style>
  <w:style w:type="character" w:styleId="Strong">
    <w:name w:val="Strong"/>
    <w:basedOn w:val="DefaultParagraphFont"/>
    <w:uiPriority w:val="22"/>
    <w:qFormat/>
    <w:rsid w:val="00014200"/>
    <w:rPr>
      <w:b/>
      <w:bCs/>
    </w:rPr>
  </w:style>
  <w:style w:type="paragraph" w:customStyle="1" w:styleId="relatedenable">
    <w:name w:val="related_enable"/>
    <w:basedOn w:val="Normal"/>
    <w:rsid w:val="0001420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14200"/>
    <w:rPr>
      <w:color w:val="0000FF"/>
      <w:u w:val="single"/>
    </w:rPr>
  </w:style>
  <w:style w:type="paragraph" w:styleId="NormalWeb">
    <w:name w:val="Normal (Web)"/>
    <w:basedOn w:val="Normal"/>
    <w:uiPriority w:val="99"/>
    <w:semiHidden/>
    <w:unhideWhenUsed/>
    <w:rsid w:val="0001420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943">
      <w:bodyDiv w:val="1"/>
      <w:marLeft w:val="0"/>
      <w:marRight w:val="0"/>
      <w:marTop w:val="0"/>
      <w:marBottom w:val="0"/>
      <w:divBdr>
        <w:top w:val="none" w:sz="0" w:space="0" w:color="auto"/>
        <w:left w:val="none" w:sz="0" w:space="0" w:color="auto"/>
        <w:bottom w:val="none" w:sz="0" w:space="0" w:color="auto"/>
        <w:right w:val="none" w:sz="0" w:space="0" w:color="auto"/>
      </w:divBdr>
    </w:div>
    <w:div w:id="3324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kyluat.vn/vb/luat-to-chuc-toa-an-nhan-dan-2014-3f68c.html" TargetMode="External"/><Relationship Id="rId5" Type="http://schemas.openxmlformats.org/officeDocument/2006/relationships/hyperlink" Target="http://thukyluat.vn/vb/luat-to-chuc-toa-an-nhan-dan-2014-3f68c.html" TargetMode="External"/><Relationship Id="rId4" Type="http://schemas.openxmlformats.org/officeDocument/2006/relationships/hyperlink" Target="http://thukyluat.vn/vb/luat-to-chuc-toa-an-nhan-dan-2014-3f68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2020-07-14T02:18:00Z</dcterms:created>
  <dcterms:modified xsi:type="dcterms:W3CDTF">2020-07-14T12:02:00Z</dcterms:modified>
</cp:coreProperties>
</file>