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NHÂN VIÊN GIAO NHẬN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Không yêu cầu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THCS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Lao động phổ thông, Vận chuyển giao nhận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Mô tả công việc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Vận chuyển hàng hóa giao tới cho khách hàng trong khu vực được giao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-Giao Nhận Hàng Hóa : 5 người, chủ yếu đóng gói hàng và giao hàng (các mặt hàng liên quan đến ngành làm bánh)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Có tinh thần và trách nhiệm trong công việc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Nói chuyện lưu loát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Nói chuyện không ngọng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Có sức khoẻ tốt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Ý chí cầu tiến cao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Tự giác cao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CHẾ ĐỘ QUYỀN LỢI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 năm cho đi du lịch từ 1-2 lần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 tháng được nghỉ 2 ngày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Hưởng lương tháng 13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Lễ tết thưởng thêm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CẦN CÓ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