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73" w:rsidRPr="000E7573" w:rsidRDefault="000E7573" w:rsidP="000E757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7573">
        <w:rPr>
          <w:rFonts w:ascii="Times New Roman" w:hAnsi="Times New Roman" w:cs="Times New Roman"/>
          <w:b/>
          <w:color w:val="FF0000"/>
          <w:sz w:val="36"/>
          <w:szCs w:val="36"/>
        </w:rPr>
        <w:t>TUYỂN DỤNG TRƯỞNG PHÒNG ĐẦU TƯ</w:t>
      </w:r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6073"/>
      </w:tblGrid>
      <w:tr w:rsidR="000E7573" w:rsidRPr="000E7573" w:rsidTr="00E93429">
        <w:tc>
          <w:tcPr>
            <w:tcW w:w="3528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</w:p>
        </w:tc>
        <w:tc>
          <w:tcPr>
            <w:tcW w:w="6120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</w:tr>
      <w:tr w:rsidR="000E7573" w:rsidRPr="000E7573" w:rsidTr="00E93429">
        <w:tc>
          <w:tcPr>
            <w:tcW w:w="3528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6120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</w:tr>
      <w:tr w:rsidR="000E7573" w:rsidRPr="000E7573" w:rsidTr="00E93429">
        <w:tc>
          <w:tcPr>
            <w:tcW w:w="3528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6120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TPĐT</w:t>
            </w:r>
          </w:p>
        </w:tc>
      </w:tr>
      <w:tr w:rsidR="000E7573" w:rsidRPr="000E7573" w:rsidTr="00E93429">
        <w:trPr>
          <w:trHeight w:val="73"/>
        </w:trPr>
        <w:tc>
          <w:tcPr>
            <w:tcW w:w="3528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6120" w:type="dxa"/>
          </w:tcPr>
          <w:p w:rsidR="000E7573" w:rsidRPr="000E7573" w:rsidRDefault="000E7573" w:rsidP="000E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0E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2538" w:rsidRPr="000E7573" w:rsidRDefault="00502538" w:rsidP="000E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573" w:rsidRPr="000E7573" w:rsidRDefault="000E7573" w:rsidP="000E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73">
        <w:rPr>
          <w:rFonts w:ascii="Times New Roman" w:hAnsi="Times New Roman" w:cs="Times New Roman"/>
          <w:b/>
          <w:sz w:val="28"/>
          <w:szCs w:val="28"/>
        </w:rPr>
        <w:t>THÔNG TIN TUYỂN DỤNG NHANH</w:t>
      </w:r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tuyể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: 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ngân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</w:p>
    <w:p w:rsidR="000E7573" w:rsidRDefault="000E7573" w:rsidP="000E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73">
        <w:rPr>
          <w:rFonts w:ascii="Times New Roman" w:hAnsi="Times New Roman" w:cs="Times New Roman"/>
          <w:b/>
          <w:sz w:val="28"/>
          <w:szCs w:val="28"/>
        </w:rPr>
        <w:t>MÔ TẢ CÔNG VIỆC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757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757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HĐQT.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đồ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duyệ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757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rủi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phạ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Pr="000E7573" w:rsidRDefault="000E7573" w:rsidP="000E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757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73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</w:t>
      </w:r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7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MS Office,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>; MS Project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0E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757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kiể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tố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logic,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tố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ty</w:t>
      </w:r>
      <w:proofErr w:type="spellEnd"/>
    </w:p>
    <w:p w:rsidR="000E7573" w:rsidRDefault="000E7573" w:rsidP="000E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73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Thu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13;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du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757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E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73">
        <w:rPr>
          <w:rFonts w:ascii="Times New Roman" w:hAnsi="Times New Roman" w:cs="Times New Roman"/>
          <w:sz w:val="28"/>
          <w:szCs w:val="28"/>
        </w:rPr>
        <w:t>nước</w:t>
      </w:r>
      <w:proofErr w:type="spellEnd"/>
    </w:p>
    <w:p w:rsidR="000E7573" w:rsidRPr="000E7573" w:rsidRDefault="000E7573" w:rsidP="000E75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573" w:rsidRPr="000E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73"/>
    <w:rsid w:val="000E7573"/>
    <w:rsid w:val="0050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73"/>
  </w:style>
  <w:style w:type="paragraph" w:styleId="Heading1">
    <w:name w:val="heading 1"/>
    <w:basedOn w:val="Normal"/>
    <w:next w:val="Normal"/>
    <w:link w:val="Heading1Char"/>
    <w:uiPriority w:val="9"/>
    <w:qFormat/>
    <w:rsid w:val="000E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5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73"/>
  </w:style>
  <w:style w:type="paragraph" w:styleId="Heading1">
    <w:name w:val="heading 1"/>
    <w:basedOn w:val="Normal"/>
    <w:next w:val="Normal"/>
    <w:link w:val="Heading1Char"/>
    <w:uiPriority w:val="9"/>
    <w:qFormat/>
    <w:rsid w:val="000E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5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2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045903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2020-07-06T04:30:00Z</dcterms:created>
  <dcterms:modified xsi:type="dcterms:W3CDTF">2020-07-06T04:35:00Z</dcterms:modified>
</cp:coreProperties>
</file>