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pPr>
      <w:r w:rsidDel="00000000" w:rsidR="00000000" w:rsidRPr="00000000">
        <w:rPr>
          <w:rtl w:val="0"/>
        </w:rPr>
        <w:t xml:space="preserve">MÔ TẢ CÔNG VIỆC GIÁM ĐỐC ĐẦU TƯ</w:t>
      </w:r>
    </w:p>
    <w:p w:rsidR="00000000" w:rsidDel="00000000" w:rsidP="00000000" w:rsidRDefault="00000000" w:rsidRPr="00000000" w14:paraId="00000002">
      <w:pPr>
        <w:numPr>
          <w:ilvl w:val="0"/>
          <w:numId w:val="4"/>
        </w:numPr>
        <w:ind w:left="720" w:hanging="360"/>
        <w:rPr>
          <w:u w:val="none"/>
        </w:rPr>
      </w:pPr>
      <w:r w:rsidDel="00000000" w:rsidR="00000000" w:rsidRPr="00000000">
        <w:rPr>
          <w:rtl w:val="0"/>
        </w:rPr>
        <w:t xml:space="preserve">Mô tả công việc</w:t>
      </w:r>
    </w:p>
    <w:p w:rsidR="00000000" w:rsidDel="00000000" w:rsidP="00000000" w:rsidRDefault="00000000" w:rsidRPr="00000000" w14:paraId="00000003">
      <w:pPr>
        <w:numPr>
          <w:ilvl w:val="0"/>
          <w:numId w:val="2"/>
        </w:numPr>
        <w:ind w:left="720" w:hanging="360"/>
        <w:rPr>
          <w:u w:val="none"/>
        </w:rPr>
      </w:pPr>
      <w:r w:rsidDel="00000000" w:rsidR="00000000" w:rsidRPr="00000000">
        <w:rPr>
          <w:rtl w:val="0"/>
        </w:rPr>
        <w:t xml:space="preserve">Đề xuất chiến lược đầu tư, chiến lược quản trị rủi ro hoạt động đầu tư tự doanh</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Quản lý triển khai hoạt động đầu tư (tự doanh) đối với loại danh mục được phân công quản lý theo nguyên tắc và chiến lược đã được phê duyệt</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Thực hiện các báo cáo đánh giá hiệu quả hoạt động của Danh mục, báo cáo định kỳ về hoạt động đầu tư và quản lý hậu đầu tư</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Nghiên cứu, phân tích và xây dựng các chiến lược đầu tư / sản phẩm đầu tư mới</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Phát triển, duy trì quan hệ với các cơ quan chức năng, đối tác trong và ngoài nước để phục vụ công việc Đầu tư</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Đảm bảo tuân thủ chính sách đạo đức nghề nghiệp, chính sách bảo mật thông tin và tất cả các luật pháp hiện hành liên quan đến hoạt động đầu tư</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Yêu cầu công việc</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Tốt nghiệp Đại học chính quy trở lên chuyên ngành tài chính doanh nghiệp, ngân hàng, kiểm toán, đầu tư, chứng khoán …</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Có ít nhất 3 năm kinh nghiệm làm việc tại vị trí tương đương ở các tổ chức tài chính</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Ứng viên có chứng chỉ CFA là một lợi thế</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Kỹ năng giao tiếp và thuyết trình, đàm phán tốt</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Khả năng làm việc độc lập, làm việc nhóm tốt</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Biết sắp xếp và xử lý công việc trong điều kiện áp lực cao</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Thành thạo Tiếng Anh</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Mức lương</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Thỏa thuận theo năng lực</w:t>
      </w:r>
    </w:p>
    <w:p w:rsidR="00000000" w:rsidDel="00000000" w:rsidP="00000000" w:rsidRDefault="00000000" w:rsidRPr="00000000" w14:paraId="0000001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